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443"/>
      </w:tblGrid>
      <w:tr w:rsidR="00871281" w:rsidTr="00F149E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81" w:rsidRDefault="00871281" w:rsidP="00F149E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0B127C7" wp14:editId="074FF478">
                  <wp:extent cx="546100" cy="5461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281" w:rsidRDefault="00871281" w:rsidP="00F149EF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81" w:rsidRDefault="00871281" w:rsidP="00F14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23.02.03</w:t>
            </w:r>
          </w:p>
          <w:p w:rsidR="00871281" w:rsidRDefault="00871281" w:rsidP="00F14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ПМ 01</w:t>
            </w:r>
          </w:p>
          <w:p w:rsidR="00871281" w:rsidRDefault="00871281" w:rsidP="00F14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МДК 01.01</w:t>
            </w:r>
          </w:p>
          <w:p w:rsidR="00871281" w:rsidRDefault="00871281" w:rsidP="00F149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71281" w:rsidRDefault="00871281" w:rsidP="00871281"/>
    <w:p w:rsidR="00871281" w:rsidRPr="006B42B2" w:rsidRDefault="00871281" w:rsidP="00711B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«ОРГАНИЗАЦЦИЯ АВТОРЕМОНТНОГО ПРОИЗВОДСТВА»</w:t>
      </w:r>
    </w:p>
    <w:p w:rsidR="00871281" w:rsidRPr="00A01146" w:rsidRDefault="00871281" w:rsidP="00871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4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871281" w:rsidRPr="00A01146" w:rsidRDefault="00871281" w:rsidP="00871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деталей </w:t>
      </w:r>
      <w:r w:rsidRPr="00A011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71281" w:rsidRDefault="00711BA1" w:rsidP="00871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изучения 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 xml:space="preserve">Назначение и сущность процесса  комплектования. 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 xml:space="preserve">Размерные цепи. 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 xml:space="preserve">Методы обеспечения точности сборки.  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 xml:space="preserve">Способы комплектования. 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>Балансировка деталей и узлов.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>Организация процесса комплектования.</w:t>
      </w:r>
    </w:p>
    <w:p w:rsidR="00871281" w:rsidRPr="008E7365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>Средства технологической оснащенности.</w:t>
      </w:r>
    </w:p>
    <w:p w:rsidR="00871281" w:rsidRDefault="00871281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65">
        <w:rPr>
          <w:rFonts w:ascii="Times New Roman" w:hAnsi="Times New Roman" w:cs="Times New Roman"/>
          <w:sz w:val="28"/>
          <w:szCs w:val="28"/>
        </w:rPr>
        <w:t>Организация  рабочих  мест</w:t>
      </w:r>
    </w:p>
    <w:p w:rsidR="0032737A" w:rsidRPr="008E7365" w:rsidRDefault="0032737A" w:rsidP="0087128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карты комплектации</w:t>
      </w:r>
    </w:p>
    <w:p w:rsidR="00871281" w:rsidRDefault="00871281" w:rsidP="00871281">
      <w:pPr>
        <w:shd w:val="clear" w:color="auto" w:fill="FFFFFF"/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71281" w:rsidRDefault="00871281" w:rsidP="00871281">
      <w:pPr>
        <w:shd w:val="clear" w:color="auto" w:fill="FFFFFF"/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2D75A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МЕТОДИЧЕСКИЕ УКАЗАНИЯ</w:t>
      </w:r>
    </w:p>
    <w:p w:rsidR="008E7365" w:rsidRPr="0025708C" w:rsidRDefault="008E7365" w:rsidP="008E7365">
      <w:pPr>
        <w:spacing w:before="150" w:after="150" w:line="360" w:lineRule="auto"/>
        <w:ind w:left="150" w:right="150" w:firstLine="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5708C">
        <w:rPr>
          <w:rFonts w:ascii="Times New Roman" w:hAnsi="Times New Roman" w:cs="Times New Roman"/>
          <w:sz w:val="28"/>
          <w:szCs w:val="28"/>
        </w:rPr>
        <w:t xml:space="preserve"> Назначение и сущность процесса  комплектования</w:t>
      </w:r>
    </w:p>
    <w:p w:rsidR="008E7365" w:rsidRPr="008E7365" w:rsidRDefault="008E7365" w:rsidP="008E7365">
      <w:pPr>
        <w:spacing w:before="150" w:after="150" w:line="360" w:lineRule="auto"/>
        <w:ind w:left="150" w:righ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</w:t>
      </w: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часть производственного процесса, выполняемая перед сборкой и предназначенная для обеспечения непрерывности сборки, ритмичности выпуска изделий, стабильности качества, снижения трудоемкости и стоимости сборочных работ.</w:t>
      </w:r>
    </w:p>
    <w:p w:rsidR="008E7365" w:rsidRPr="008E7365" w:rsidRDefault="008E7365" w:rsidP="008E7365">
      <w:pPr>
        <w:spacing w:before="150" w:after="150" w:line="360" w:lineRule="auto"/>
        <w:ind w:left="150" w:righ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комплектования</w:t>
      </w: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подбор деталей по размерам с целью обеспечения требуемой точности сборки (то есть точности зазоров и натягов, взаимного расположения рабочих поверхностей деталей) при изготовлении деталей с большими производственными допусками.</w:t>
      </w:r>
    </w:p>
    <w:p w:rsidR="008E7365" w:rsidRPr="008E7365" w:rsidRDefault="008E7365" w:rsidP="008E7365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 </w:t>
      </w:r>
    </w:p>
    <w:p w:rsidR="008E7365" w:rsidRPr="008E7365" w:rsidRDefault="00575D7D" w:rsidP="0025708C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работ при </w:t>
      </w:r>
      <w:r w:rsidR="0025708C"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комплектовании</w:t>
      </w:r>
      <w:r w:rsidR="008E7365"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5D7D" w:rsidRPr="0025708C" w:rsidRDefault="00575D7D" w:rsidP="002570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учет и хранение деталей, сборочных единиц и комплектующих изделий</w:t>
      </w: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(годных и во</w:t>
      </w:r>
      <w:r w:rsidR="0025708C"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становленных)</w:t>
      </w:r>
    </w:p>
    <w:p w:rsidR="008E7365" w:rsidRPr="008E7365" w:rsidRDefault="00733AAD" w:rsidP="002570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заявок</w:t>
      </w:r>
      <w:r w:rsidR="008E7365"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недостающих деталях, сборочных единицах, комплектующих изделий;</w:t>
      </w:r>
    </w:p>
    <w:p w:rsidR="008E7365" w:rsidRPr="008E7365" w:rsidRDefault="008E7365" w:rsidP="002570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сопряженных деталей по ремонтным размерам, размерным и массовым группам;</w:t>
      </w:r>
    </w:p>
    <w:p w:rsidR="008E7365" w:rsidRPr="008E7365" w:rsidRDefault="008E7365" w:rsidP="002570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пригонка деталей в отдельных соединениях;</w:t>
      </w:r>
    </w:p>
    <w:p w:rsidR="008E7365" w:rsidRPr="008E7365" w:rsidRDefault="008E7365" w:rsidP="002570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составных частей сборочного комплекта (группы деталей, сборочных единиц и комплектующих изделий) по номенклатуре и количеству;</w:t>
      </w:r>
    </w:p>
    <w:p w:rsidR="008E7365" w:rsidRPr="008E7365" w:rsidRDefault="008E7365" w:rsidP="0025708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сборочных комплектов к постам сборки до начала выполнения сборочных работ.</w:t>
      </w:r>
    </w:p>
    <w:p w:rsidR="005A7304" w:rsidRDefault="008E7365" w:rsidP="005A7304">
      <w:pPr>
        <w:spacing w:after="0" w:line="360" w:lineRule="auto"/>
        <w:ind w:right="-1" w:firstLine="4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04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 </w:t>
      </w:r>
      <w:r w:rsidR="00575D7D" w:rsidRPr="005A73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</w:t>
      </w:r>
      <w:r w:rsidR="00575D7D" w:rsidRPr="005A7304">
        <w:rPr>
          <w:rFonts w:ascii="Times New Roman" w:hAnsi="Times New Roman" w:cs="Times New Roman"/>
          <w:b/>
          <w:sz w:val="28"/>
          <w:szCs w:val="28"/>
        </w:rPr>
        <w:t xml:space="preserve"> Размерные цепи.</w:t>
      </w:r>
    </w:p>
    <w:p w:rsidR="005A7304" w:rsidRPr="008E7365" w:rsidRDefault="00575D7D" w:rsidP="005A7304">
      <w:pPr>
        <w:spacing w:after="0" w:line="360" w:lineRule="auto"/>
        <w:ind w:right="-1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04">
        <w:rPr>
          <w:rFonts w:ascii="Times New Roman" w:hAnsi="Times New Roman" w:cs="Times New Roman"/>
          <w:sz w:val="28"/>
          <w:szCs w:val="28"/>
        </w:rPr>
        <w:t xml:space="preserve"> </w:t>
      </w:r>
      <w:r w:rsidR="005A7304"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Размерными расчетами устанавливаются размеры деталей и допустимые отклонения взаимного их положения, а также взаимосвязь между размерами сборочных единиц и нескольких деталей, входящих в сборочную единицу (все это предопределяет качество машины и ее составных частей).</w:t>
      </w:r>
    </w:p>
    <w:p w:rsidR="005A7304" w:rsidRPr="008E7365" w:rsidRDefault="005A7304" w:rsidP="005A7304">
      <w:pPr>
        <w:spacing w:after="0" w:line="360" w:lineRule="auto"/>
        <w:ind w:right="-1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сборки определяют решением сборочных размерных цепей.</w:t>
      </w:r>
    </w:p>
    <w:p w:rsidR="005A7304" w:rsidRPr="008E7365" w:rsidRDefault="005A7304" w:rsidP="005A7304">
      <w:pPr>
        <w:spacing w:after="0" w:line="360" w:lineRule="auto"/>
        <w:ind w:right="-1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Размерная цепь</w:t>
      </w:r>
      <w:r w:rsidRPr="008E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замкнутый контур взаимосвязанных размеров одной детали (или нескольких деталей) с допусками</w:t>
      </w: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304" w:rsidRDefault="005A7304" w:rsidP="005A7304">
      <w:pPr>
        <w:spacing w:after="0" w:line="360" w:lineRule="auto"/>
        <w:ind w:right="-1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Замкнутость размерного контура – необходимое условие для составления и анализа размерной цепи.  Размерные цепи можно изображать графически в виде схем. </w:t>
      </w:r>
    </w:p>
    <w:p w:rsidR="005A7304" w:rsidRPr="005A7304" w:rsidRDefault="005A7304" w:rsidP="005A7304">
      <w:pPr>
        <w:spacing w:after="0" w:line="360" w:lineRule="auto"/>
        <w:ind w:right="-1" w:firstLine="417"/>
        <w:jc w:val="both"/>
        <w:rPr>
          <w:rFonts w:ascii="Roboto-Regular" w:hAnsi="Roboto-Regular"/>
          <w:bCs/>
          <w:color w:val="183741"/>
          <w:sz w:val="24"/>
          <w:szCs w:val="24"/>
        </w:rPr>
      </w:pPr>
      <w:r w:rsidRPr="005A7304">
        <w:rPr>
          <w:rFonts w:ascii="Times New Roman" w:hAnsi="Times New Roman" w:cs="Times New Roman"/>
          <w:bCs/>
          <w:sz w:val="28"/>
          <w:szCs w:val="28"/>
        </w:rPr>
        <w:t xml:space="preserve">Основные термины, обозначения и определения размерных цепей установлены ГОСТ 16319-80, а методы расчета цепей - ГОСТ 16320-80. При расчете размерных цепей могут решаться прямая и обратная задачи. В первом случае по установленным требованиям к замыкающему звену определяются </w:t>
      </w:r>
      <w:r w:rsidRPr="005A73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номинальные размеры, допуски, координаты середин полей допусков и предельные отклонения всех составляющих размерную цепь звеньев. При решении обратной задачи по значениям номинальных размеров, допусков, координат середин их полей, предельных отклонений составляющих звеньев </w:t>
      </w:r>
      <w:proofErr w:type="gramStart"/>
      <w:r w:rsidRPr="005A7304">
        <w:rPr>
          <w:rFonts w:ascii="Times New Roman" w:hAnsi="Times New Roman" w:cs="Times New Roman"/>
          <w:bCs/>
          <w:sz w:val="28"/>
          <w:szCs w:val="28"/>
        </w:rPr>
        <w:t>определяются те же характеристики замыкающего звена либо при необходимости вычислить погрешность замыкающего звена устанавливаются</w:t>
      </w:r>
      <w:proofErr w:type="gramEnd"/>
      <w:r w:rsidRPr="005A7304">
        <w:rPr>
          <w:rFonts w:ascii="Times New Roman" w:hAnsi="Times New Roman" w:cs="Times New Roman"/>
          <w:bCs/>
          <w:sz w:val="28"/>
          <w:szCs w:val="28"/>
        </w:rPr>
        <w:t xml:space="preserve"> поле рассеяния, координаты его середины или границы отклонений замыкающего звена на основании аналогичных данных для составляющих звеньев. Решением обратной задачи проверяется правильность решения прямой задачи.</w:t>
      </w:r>
      <w:r w:rsidRPr="005A7304">
        <w:rPr>
          <w:rFonts w:ascii="Roboto-Regular" w:hAnsi="Roboto-Regular"/>
          <w:bCs/>
          <w:color w:val="183741"/>
          <w:sz w:val="24"/>
          <w:szCs w:val="24"/>
        </w:rPr>
        <w:t xml:space="preserve"> </w:t>
      </w:r>
    </w:p>
    <w:p w:rsidR="005A7304" w:rsidRDefault="005A7304" w:rsidP="005A7304">
      <w:pPr>
        <w:pStyle w:val="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A7304">
        <w:rPr>
          <w:rFonts w:ascii="Times New Roman" w:hAnsi="Times New Roman" w:cs="Times New Roman"/>
          <w:b w:val="0"/>
          <w:bCs w:val="0"/>
          <w:color w:val="auto"/>
        </w:rPr>
        <w:t>При ремонте чаще всего решается обратная задача теории размерных цепей, при которой определяют, как в действительности выполняются требования, заданные техническими условиями на сборку данного автомобиля или агрегата. Для этого выявляют:</w:t>
      </w:r>
    </w:p>
    <w:p w:rsidR="005A7304" w:rsidRDefault="005A7304" w:rsidP="005A7304">
      <w:pPr>
        <w:pStyle w:val="1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A7304">
        <w:rPr>
          <w:rFonts w:ascii="Times New Roman" w:hAnsi="Times New Roman" w:cs="Times New Roman"/>
          <w:b w:val="0"/>
          <w:bCs w:val="0"/>
          <w:color w:val="auto"/>
        </w:rPr>
        <w:t xml:space="preserve">какие размеры деталей </w:t>
      </w:r>
      <w:proofErr w:type="gramStart"/>
      <w:r w:rsidRPr="005A7304">
        <w:rPr>
          <w:rFonts w:ascii="Times New Roman" w:hAnsi="Times New Roman" w:cs="Times New Roman"/>
          <w:b w:val="0"/>
          <w:bCs w:val="0"/>
          <w:color w:val="auto"/>
        </w:rPr>
        <w:t>получают изменения в процессе эксплуатации и ремонта и как это отражается</w:t>
      </w:r>
      <w:proofErr w:type="gramEnd"/>
      <w:r w:rsidRPr="005A7304">
        <w:rPr>
          <w:rFonts w:ascii="Times New Roman" w:hAnsi="Times New Roman" w:cs="Times New Roman"/>
          <w:b w:val="0"/>
          <w:bCs w:val="0"/>
          <w:color w:val="auto"/>
        </w:rPr>
        <w:t xml:space="preserve"> на качестве сборки;</w:t>
      </w:r>
    </w:p>
    <w:p w:rsidR="005A7304" w:rsidRDefault="005A7304" w:rsidP="005A7304">
      <w:pPr>
        <w:pStyle w:val="1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A7304">
        <w:rPr>
          <w:rFonts w:ascii="Times New Roman" w:hAnsi="Times New Roman" w:cs="Times New Roman"/>
          <w:b w:val="0"/>
          <w:bCs w:val="0"/>
          <w:color w:val="auto"/>
        </w:rPr>
        <w:t>какие сопряжения служат источником наибольших погрешностей сборки;</w:t>
      </w:r>
    </w:p>
    <w:p w:rsidR="005A7304" w:rsidRPr="005A7304" w:rsidRDefault="005A7304" w:rsidP="005A7304">
      <w:pPr>
        <w:pStyle w:val="1"/>
        <w:numPr>
          <w:ilvl w:val="0"/>
          <w:numId w:val="9"/>
        </w:numPr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A7304">
        <w:rPr>
          <w:rFonts w:ascii="Times New Roman" w:hAnsi="Times New Roman" w:cs="Times New Roman"/>
          <w:b w:val="0"/>
          <w:bCs w:val="0"/>
          <w:color w:val="auto"/>
        </w:rPr>
        <w:t xml:space="preserve"> какие параметры деталей необходимо более строго контролировать в процессе </w:t>
      </w:r>
      <w:proofErr w:type="gramStart"/>
      <w:r w:rsidRPr="005A7304">
        <w:rPr>
          <w:rFonts w:ascii="Times New Roman" w:hAnsi="Times New Roman" w:cs="Times New Roman"/>
          <w:b w:val="0"/>
          <w:bCs w:val="0"/>
          <w:color w:val="auto"/>
        </w:rPr>
        <w:t>сборки</w:t>
      </w:r>
      <w:proofErr w:type="gramEnd"/>
      <w:r w:rsidRPr="005A7304">
        <w:rPr>
          <w:rFonts w:ascii="Times New Roman" w:hAnsi="Times New Roman" w:cs="Times New Roman"/>
          <w:b w:val="0"/>
          <w:bCs w:val="0"/>
          <w:color w:val="auto"/>
        </w:rPr>
        <w:t xml:space="preserve"> машин и </w:t>
      </w:r>
      <w:proofErr w:type="gramStart"/>
      <w:r w:rsidRPr="005A7304">
        <w:rPr>
          <w:rFonts w:ascii="Times New Roman" w:hAnsi="Times New Roman" w:cs="Times New Roman"/>
          <w:b w:val="0"/>
          <w:bCs w:val="0"/>
          <w:color w:val="auto"/>
        </w:rPr>
        <w:t>какова</w:t>
      </w:r>
      <w:proofErr w:type="gramEnd"/>
      <w:r w:rsidRPr="005A7304">
        <w:rPr>
          <w:rFonts w:ascii="Times New Roman" w:hAnsi="Times New Roman" w:cs="Times New Roman"/>
          <w:b w:val="0"/>
          <w:bCs w:val="0"/>
          <w:color w:val="auto"/>
        </w:rPr>
        <w:t xml:space="preserve"> возможность расширения допусков без снижения качества сборки</w:t>
      </w:r>
    </w:p>
    <w:p w:rsidR="00733AAD" w:rsidRDefault="00733AAD" w:rsidP="005A7304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8E7365">
        <w:rPr>
          <w:rFonts w:ascii="Times New Roman" w:eastAsia="Times New Roman" w:hAnsi="Times New Roman" w:cs="Times New Roman"/>
          <w:b w:val="0"/>
          <w:color w:val="auto"/>
          <w:lang w:eastAsia="ru-RU"/>
        </w:rPr>
        <w:t>Размеры, образующие размерную цепь, называются звеньями размерной цепи. Отдельные звенья размерной цепи обозначаются буквами, а в индексе дается порядковый номер звена (А</w:t>
      </w:r>
      <w:proofErr w:type="gramStart"/>
      <w:r w:rsidRPr="008E7365">
        <w:rPr>
          <w:rFonts w:ascii="Times New Roman" w:eastAsia="Times New Roman" w:hAnsi="Times New Roman" w:cs="Times New Roman"/>
          <w:b w:val="0"/>
          <w:color w:val="auto"/>
          <w:vertAlign w:val="subscript"/>
          <w:lang w:eastAsia="ru-RU"/>
        </w:rPr>
        <w:t>1</w:t>
      </w:r>
      <w:proofErr w:type="gramEnd"/>
      <w:r w:rsidRPr="008E7365">
        <w:rPr>
          <w:rFonts w:ascii="Times New Roman" w:eastAsia="Times New Roman" w:hAnsi="Times New Roman" w:cs="Times New Roman"/>
          <w:b w:val="0"/>
          <w:color w:val="auto"/>
          <w:lang w:eastAsia="ru-RU"/>
        </w:rPr>
        <w:t>, А</w:t>
      </w:r>
      <w:r w:rsidRPr="008E7365">
        <w:rPr>
          <w:rFonts w:ascii="Times New Roman" w:eastAsia="Times New Roman" w:hAnsi="Times New Roman" w:cs="Times New Roman"/>
          <w:b w:val="0"/>
          <w:color w:val="auto"/>
          <w:vertAlign w:val="subscript"/>
          <w:lang w:eastAsia="ru-RU"/>
        </w:rPr>
        <w:t>2</w:t>
      </w:r>
      <w:r w:rsidRPr="008E7365">
        <w:rPr>
          <w:rFonts w:ascii="Times New Roman" w:eastAsia="Times New Roman" w:hAnsi="Times New Roman" w:cs="Times New Roman"/>
          <w:b w:val="0"/>
          <w:color w:val="auto"/>
          <w:lang w:eastAsia="ru-RU"/>
        </w:rPr>
        <w:t>).</w:t>
      </w:r>
    </w:p>
    <w:p w:rsidR="00733AAD" w:rsidRPr="008E7365" w:rsidRDefault="00733AAD" w:rsidP="005A7304">
      <w:pPr>
        <w:spacing w:before="150" w:after="0" w:line="360" w:lineRule="auto"/>
        <w:ind w:right="15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Размерная цепь состоит из следующих звеньев:</w:t>
      </w:r>
    </w:p>
    <w:p w:rsidR="009164A9" w:rsidRDefault="00733AAD" w:rsidP="0078316B">
      <w:pPr>
        <w:pStyle w:val="a5"/>
        <w:numPr>
          <w:ilvl w:val="0"/>
          <w:numId w:val="4"/>
        </w:numPr>
        <w:spacing w:before="150" w:after="150" w:line="360" w:lineRule="auto"/>
        <w:ind w:left="426" w:right="150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Исходное (замыкающее) звено</w:t>
      </w:r>
      <w:r w:rsidRPr="009164A9">
        <w:rPr>
          <w:rFonts w:ascii="Times New Roman" w:eastAsia="Times New Roman" w:hAnsi="Times New Roman" w:cs="Times New Roman"/>
          <w:color w:val="424242"/>
          <w:sz w:val="28"/>
          <w:szCs w:val="28"/>
        </w:rPr>
        <w:t> – звено, возникающее в результате постановки задачи при проектировании (или получаемой в цепи последним в результате решения задачи при изготовлении и ремонте) – А</w:t>
      </w:r>
      <w:r w:rsidRPr="009164A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Δ</w:t>
      </w:r>
      <w:proofErr w:type="gramStart"/>
      <w:r w:rsidRPr="009164A9">
        <w:rPr>
          <w:rFonts w:ascii="Times New Roman" w:eastAsia="Times New Roman" w:hAnsi="Times New Roman" w:cs="Times New Roman"/>
          <w:color w:val="424242"/>
          <w:sz w:val="28"/>
          <w:szCs w:val="28"/>
        </w:rPr>
        <w:t> ,</w:t>
      </w:r>
      <w:proofErr w:type="gramEnd"/>
      <w:r w:rsidRPr="009164A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Б</w:t>
      </w:r>
      <w:r w:rsidRPr="009164A9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Δ</w:t>
      </w:r>
      <w:r w:rsidRPr="009164A9">
        <w:rPr>
          <w:rFonts w:ascii="Times New Roman" w:eastAsia="Times New Roman" w:hAnsi="Times New Roman" w:cs="Times New Roman"/>
          <w:color w:val="424242"/>
          <w:sz w:val="28"/>
          <w:szCs w:val="28"/>
        </w:rPr>
        <w:t>;</w:t>
      </w:r>
    </w:p>
    <w:p w:rsidR="009164A9" w:rsidRDefault="00733AAD" w:rsidP="0078316B">
      <w:pPr>
        <w:pStyle w:val="a5"/>
        <w:numPr>
          <w:ilvl w:val="0"/>
          <w:numId w:val="4"/>
        </w:numPr>
        <w:spacing w:before="150" w:after="150" w:line="360" w:lineRule="auto"/>
        <w:ind w:left="426" w:right="150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Составляющее звено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 – звено, изменение которого вызывает изменение исходного (замыкающего) звена – А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1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, А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2…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Б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1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, Б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2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…;</w:t>
      </w:r>
      <w:r w:rsidR="009164A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                 </w:t>
      </w:r>
      <w:r w:rsidR="009164A9"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у</w:t>
      </w:r>
      <w:r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 xml:space="preserve">величивающее звено </w:t>
      </w:r>
      <w:proofErr w:type="gramStart"/>
      <w:r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-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з</w:t>
      </w:r>
      <w:proofErr w:type="gramEnd"/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вено, при увеличении которого увеличивается замыкающее звено.</w:t>
      </w:r>
      <w:r w:rsidR="009164A9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                                                                            </w:t>
      </w:r>
      <w:r w:rsidR="009164A9"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у</w:t>
      </w:r>
      <w:r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меньшающее звено -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звено, при увеличении которого уменьшается замыкающее звено.</w:t>
      </w:r>
    </w:p>
    <w:p w:rsidR="009164A9" w:rsidRDefault="00733AAD" w:rsidP="0078316B">
      <w:pPr>
        <w:pStyle w:val="a5"/>
        <w:numPr>
          <w:ilvl w:val="0"/>
          <w:numId w:val="4"/>
        </w:numPr>
        <w:spacing w:before="150" w:after="150" w:line="360" w:lineRule="auto"/>
        <w:ind w:left="426" w:right="150" w:firstLine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9164A9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Компенсирующее звено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 – звено, изменением размера которого достигается требуемая точность замыкающего звена – А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4к</w:t>
      </w:r>
      <w:proofErr w:type="gramStart"/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 ,</w:t>
      </w:r>
      <w:proofErr w:type="gramEnd"/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Б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</w:rPr>
        <w:t>7к</w:t>
      </w:r>
      <w:r w:rsidRPr="008E7365">
        <w:rPr>
          <w:rFonts w:ascii="Times New Roman" w:eastAsia="Times New Roman" w:hAnsi="Times New Roman" w:cs="Times New Roman"/>
          <w:color w:val="424242"/>
          <w:sz w:val="28"/>
          <w:szCs w:val="28"/>
        </w:rPr>
        <w:t> и т.д.; В качестве компенсаторов используются шайбы, установочное кольцо, набор прокладок, пружины, соединительные и шлицевые муфты.</w:t>
      </w:r>
    </w:p>
    <w:p w:rsidR="00733AAD" w:rsidRPr="008E7365" w:rsidRDefault="00733AAD" w:rsidP="0078316B">
      <w:pPr>
        <w:pStyle w:val="a5"/>
        <w:numPr>
          <w:ilvl w:val="0"/>
          <w:numId w:val="4"/>
        </w:numPr>
        <w:spacing w:before="150" w:after="150" w:line="360" w:lineRule="auto"/>
        <w:ind w:left="426" w:right="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звено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 – звено, принадлежащее одновременно несколько размерным цепям А</w:t>
      </w:r>
      <w:r w:rsidRPr="008E7365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 – Б</w:t>
      </w:r>
      <w:proofErr w:type="gramStart"/>
      <w:r w:rsidRPr="008E7365">
        <w:rPr>
          <w:rFonts w:ascii="Times New Roman" w:eastAsia="Times New Roman" w:hAnsi="Times New Roman" w:cs="Times New Roman"/>
          <w:sz w:val="28"/>
          <w:szCs w:val="28"/>
          <w:vertAlign w:val="subscript"/>
        </w:rPr>
        <w:t>9</w:t>
      </w:r>
      <w:proofErr w:type="gramEnd"/>
      <w:r w:rsidRPr="008E7365">
        <w:rPr>
          <w:rFonts w:ascii="Times New Roman" w:eastAsia="Times New Roman" w:hAnsi="Times New Roman" w:cs="Times New Roman"/>
          <w:sz w:val="28"/>
          <w:szCs w:val="28"/>
        </w:rPr>
        <w:t> и т.д.; </w:t>
      </w:r>
    </w:p>
    <w:p w:rsidR="00733AAD" w:rsidRPr="008E7365" w:rsidRDefault="00733AAD" w:rsidP="0078316B">
      <w:pPr>
        <w:spacing w:before="150" w:after="150" w:line="360" w:lineRule="auto"/>
        <w:ind w:left="426" w:right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каждой размерной цепи есть только одно замыкающее или исходное звено, все остальные звенья являются составляющими.</w:t>
      </w:r>
    </w:p>
    <w:p w:rsidR="00733AAD" w:rsidRPr="008E7365" w:rsidRDefault="00733AAD" w:rsidP="00733AA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Замыкающее звено может быть положительным, отрицательным и равным нулю. Решение размерных цепей позволяет определить номинальные размеры и допуски замыкающего звена, а затем, сопоставив их с действительным размером, судить о величине погрешностей.</w:t>
      </w:r>
    </w:p>
    <w:p w:rsidR="00733AAD" w:rsidRPr="008E7365" w:rsidRDefault="00733AAD" w:rsidP="00733AA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Звено сборочной</w:t>
      </w:r>
      <w:proofErr w:type="gramEnd"/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размерной цепи, которое определяет функционирование механизма, и для обеспечения точности которого, решается размерная цепь, называется исходным (функциональным) размером (зазор, натяг).</w:t>
      </w:r>
    </w:p>
    <w:p w:rsidR="00575D7D" w:rsidRPr="0025708C" w:rsidRDefault="00575D7D" w:rsidP="00575D7D">
      <w:pPr>
        <w:spacing w:before="150" w:after="150" w:line="360" w:lineRule="auto"/>
        <w:ind w:left="150" w:right="150" w:firstLine="4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8C">
        <w:rPr>
          <w:rFonts w:ascii="Times New Roman" w:hAnsi="Times New Roman" w:cs="Times New Roman"/>
          <w:b/>
          <w:sz w:val="28"/>
          <w:szCs w:val="28"/>
        </w:rPr>
        <w:t>3.Методы обеспечения точности сборки</w:t>
      </w:r>
    </w:p>
    <w:p w:rsidR="009164A9" w:rsidRPr="008E7365" w:rsidRDefault="009164A9" w:rsidP="009164A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Точность сборки</w:t>
      </w: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степень соответствия действительных параметров соединения параметрам, регламентированным технической документацией.</w:t>
      </w:r>
      <w:r w:rsidR="000572EB" w:rsidRPr="000572EB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0572EB" w:rsidRPr="00FF0AE3">
        <w:rPr>
          <w:rFonts w:ascii="Roboto-Regular" w:hAnsi="Roboto-Regular"/>
          <w:i/>
          <w:color w:val="000000"/>
          <w:sz w:val="28"/>
          <w:szCs w:val="28"/>
          <w:shd w:val="clear" w:color="auto" w:fill="FFFFFF"/>
        </w:rPr>
        <w:t>Точность сборки - это степень совпадения материальных осей, контактирующих поверхностей или иных элементов сопрягающих деталей с положением их условных прототипов, определяемым соответствующими размерами на чертеже или техническими требованиями</w:t>
      </w:r>
      <w:r w:rsidR="000572EB" w:rsidRPr="00FF0AE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</w:t>
      </w:r>
    </w:p>
    <w:p w:rsidR="00FF0AE3" w:rsidRPr="008E7365" w:rsidRDefault="009164A9" w:rsidP="00FF0AE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0A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ГОСТ16319-80 устанавливает следующие методы точности сборки</w:t>
      </w:r>
      <w:r w:rsidR="00FF0AE3"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64A9" w:rsidRPr="0025708C" w:rsidRDefault="009164A9" w:rsidP="009164A9">
      <w:pPr>
        <w:pStyle w:val="a5"/>
        <w:numPr>
          <w:ilvl w:val="0"/>
          <w:numId w:val="5"/>
        </w:num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полной взаимозаменяемост</w:t>
      </w:r>
      <w:proofErr w:type="gramStart"/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570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5708C">
        <w:rPr>
          <w:rFonts w:ascii="Times New Roman" w:eastAsia="Times New Roman" w:hAnsi="Times New Roman" w:cs="Times New Roman"/>
          <w:sz w:val="28"/>
          <w:szCs w:val="28"/>
        </w:rPr>
        <w:t xml:space="preserve"> метод, при котором требуемая точность сборки достигается путем соединения деталей без их выбора, подбора или изменения размеров (подгонки), например сборка коренных и шатунных подшипников двигателя. 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Этот метод целесообразен при сбо</w:t>
      </w:r>
      <w:r w:rsidR="005965F3" w:rsidRPr="0025708C">
        <w:rPr>
          <w:rFonts w:ascii="Times New Roman" w:eastAsia="Times New Roman" w:hAnsi="Times New Roman" w:cs="Times New Roman"/>
          <w:sz w:val="28"/>
          <w:szCs w:val="28"/>
        </w:rPr>
        <w:t xml:space="preserve">рке соединений, состоящих из </w:t>
      </w:r>
      <w:proofErr w:type="spellStart"/>
      <w:r w:rsidR="005965F3" w:rsidRPr="0025708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большего</w:t>
      </w:r>
      <w:proofErr w:type="spellEnd"/>
      <w:r w:rsidRPr="008E7365">
        <w:rPr>
          <w:rFonts w:ascii="Times New Roman" w:eastAsia="Times New Roman" w:hAnsi="Times New Roman" w:cs="Times New Roman"/>
          <w:sz w:val="28"/>
          <w:szCs w:val="28"/>
        </w:rPr>
        <w:t xml:space="preserve"> количества деталей</w:t>
      </w:r>
      <w:proofErr w:type="gramStart"/>
      <w:r w:rsidRPr="008E73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73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65F3" w:rsidRPr="0025708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5965F3" w:rsidRPr="00575D7D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proofErr w:type="gramEnd"/>
      <w:r w:rsidR="005965F3" w:rsidRPr="00575D7D">
        <w:rPr>
          <w:rFonts w:ascii="Times New Roman" w:eastAsia="Times New Roman" w:hAnsi="Times New Roman" w:cs="Times New Roman"/>
          <w:i/>
          <w:sz w:val="28"/>
          <w:szCs w:val="28"/>
        </w:rPr>
        <w:t>величение количества деталей обуславливает обработку сопряженных поверхностей с меньшими допусками, что не всегда технически достижимо и экономически целесообразно</w:t>
      </w:r>
      <w:r w:rsidR="005965F3" w:rsidRPr="0025708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164A9" w:rsidRPr="0025708C" w:rsidRDefault="009164A9" w:rsidP="009164A9">
      <w:pPr>
        <w:pStyle w:val="a5"/>
        <w:numPr>
          <w:ilvl w:val="0"/>
          <w:numId w:val="5"/>
        </w:num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неполной взаимозаменяемости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 – метод, при котором требуемая точность сборки достигается не у всех соединений при сопряжении деталей без их выбора, подбора, подгонки, а часть соединений не удовлетворяют точности сборки и требуют разборки и повторной сборки. </w:t>
      </w:r>
    </w:p>
    <w:p w:rsidR="009164A9" w:rsidRDefault="009164A9" w:rsidP="009164A9">
      <w:pPr>
        <w:pStyle w:val="a5"/>
        <w:numPr>
          <w:ilvl w:val="0"/>
          <w:numId w:val="5"/>
        </w:num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групповой взаимозаменяемости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 (селективный метод) – метод, при котором требуемая точность сборки достигается путем соединения деталей, принадлежащих к одной из размерной групп, на которые они предварительно рассортированы.</w:t>
      </w:r>
      <w:proofErr w:type="gramEnd"/>
      <w:r w:rsidRPr="008E7365">
        <w:rPr>
          <w:rFonts w:ascii="Times New Roman" w:eastAsia="Times New Roman" w:hAnsi="Times New Roman" w:cs="Times New Roman"/>
          <w:sz w:val="28"/>
          <w:szCs w:val="28"/>
        </w:rPr>
        <w:t xml:space="preserve"> В пределах размерной группы требуемая точность сборки достигается методом полной взаимозаменяемости. Например, соединение поршневой палец – отверстие в поршне – отверстие в шатуне – 4 </w:t>
      </w:r>
      <w:proofErr w:type="gramStart"/>
      <w:r w:rsidRPr="008E7365">
        <w:rPr>
          <w:rFonts w:ascii="Times New Roman" w:eastAsia="Times New Roman" w:hAnsi="Times New Roman" w:cs="Times New Roman"/>
          <w:sz w:val="28"/>
          <w:szCs w:val="28"/>
        </w:rPr>
        <w:t>размерных</w:t>
      </w:r>
      <w:proofErr w:type="gramEnd"/>
      <w:r w:rsidRPr="008E7365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4857D0" w:rsidRPr="004857D0" w:rsidRDefault="004857D0" w:rsidP="004857D0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5708C" w:rsidRPr="0025708C" w:rsidTr="009164A9">
        <w:tc>
          <w:tcPr>
            <w:tcW w:w="5069" w:type="dxa"/>
          </w:tcPr>
          <w:p w:rsidR="009164A9" w:rsidRPr="0025708C" w:rsidRDefault="009164A9" w:rsidP="005965F3">
            <w:pPr>
              <w:spacing w:before="150" w:after="150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5069" w:type="dxa"/>
          </w:tcPr>
          <w:p w:rsidR="009164A9" w:rsidRPr="0025708C" w:rsidRDefault="009164A9" w:rsidP="005965F3">
            <w:pPr>
              <w:spacing w:before="150" w:after="150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</w:t>
            </w:r>
          </w:p>
        </w:tc>
      </w:tr>
      <w:tr w:rsidR="0025708C" w:rsidRPr="0025708C" w:rsidTr="009164A9">
        <w:tc>
          <w:tcPr>
            <w:tcW w:w="5069" w:type="dxa"/>
          </w:tcPr>
          <w:p w:rsidR="009164A9" w:rsidRPr="008E7365" w:rsidRDefault="009164A9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эффективность;</w:t>
            </w:r>
          </w:p>
          <w:p w:rsidR="009164A9" w:rsidRPr="008E7365" w:rsidRDefault="009164A9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точность;</w:t>
            </w:r>
          </w:p>
          <w:p w:rsidR="009164A9" w:rsidRPr="008E7365" w:rsidRDefault="009164A9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низкая стоимость обработки деталей</w:t>
            </w:r>
          </w:p>
          <w:p w:rsidR="009164A9" w:rsidRPr="008E7365" w:rsidRDefault="009164A9" w:rsidP="005965F3">
            <w:pPr>
              <w:spacing w:before="150" w:after="150"/>
              <w:ind w:left="150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64A9" w:rsidRPr="0025708C" w:rsidRDefault="009164A9" w:rsidP="005965F3">
            <w:pPr>
              <w:spacing w:before="150" w:after="150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164A9" w:rsidRPr="008E7365" w:rsidRDefault="009164A9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100% контроль;</w:t>
            </w:r>
          </w:p>
          <w:p w:rsidR="009164A9" w:rsidRPr="008E7365" w:rsidRDefault="009164A9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сортировка работы и маркировка;</w:t>
            </w:r>
          </w:p>
          <w:p w:rsidR="009164A9" w:rsidRPr="008E7365" w:rsidRDefault="009164A9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точные измерительные средства</w:t>
            </w:r>
          </w:p>
          <w:p w:rsidR="009164A9" w:rsidRPr="0025708C" w:rsidRDefault="005965F3" w:rsidP="005965F3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незавершенное производство</w:t>
            </w:r>
          </w:p>
        </w:tc>
      </w:tr>
    </w:tbl>
    <w:p w:rsidR="00250E00" w:rsidRPr="00575D7D" w:rsidRDefault="009164A9" w:rsidP="0025708C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регулирования</w:t>
      </w: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метод, при котором требуемая точность сборки достигается путем изменения размера одной из деталей соединения (компенсатора – кольца, шайбы, прокладки, регулировочные болта и др.) без снятия слоя металла.</w:t>
      </w:r>
      <w:r w:rsidR="00250E00" w:rsidRPr="0025708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50E00" w:rsidRPr="00257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 w:rsidR="00250E00" w:rsidRPr="0025708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250E00" w:rsidRPr="0025708C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 w:rsidR="00250E00" w:rsidRPr="0057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="00250E00" w:rsidRPr="0057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ольца, прокладки, регулировочная шайба</w:t>
      </w:r>
      <w:r w:rsidR="00250E00" w:rsidRPr="00257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250E00" w:rsidRPr="0057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дифференциал, главная передача, рулевой механизм </w:t>
      </w:r>
      <w:r w:rsidR="00250E00" w:rsidRPr="00257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250E00" w:rsidRPr="0057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регулировочный болт</w:t>
      </w:r>
      <w:r w:rsidR="00250E00" w:rsidRPr="002570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50E00" w:rsidRPr="0057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торец клапана и болт толкателя .</w:t>
      </w:r>
    </w:p>
    <w:p w:rsidR="009164A9" w:rsidRPr="008E7365" w:rsidRDefault="009164A9" w:rsidP="009164A9">
      <w:pPr>
        <w:pStyle w:val="a5"/>
        <w:numPr>
          <w:ilvl w:val="0"/>
          <w:numId w:val="7"/>
        </w:num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3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пригонки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 xml:space="preserve"> – метод, при котором требуемая точность достигается путем изменения размера компенсатора со снятием слоя металла, например соединение клапан-седло клапана в </w:t>
      </w:r>
      <w:r w:rsidR="00250E00" w:rsidRPr="0025708C">
        <w:rPr>
          <w:rFonts w:ascii="Times New Roman" w:eastAsia="Times New Roman" w:hAnsi="Times New Roman" w:cs="Times New Roman"/>
          <w:sz w:val="28"/>
          <w:szCs w:val="28"/>
        </w:rPr>
        <w:t>ГБЦ</w:t>
      </w:r>
      <w:r w:rsidRPr="008E7365">
        <w:rPr>
          <w:rFonts w:ascii="Times New Roman" w:eastAsia="Times New Roman" w:hAnsi="Times New Roman" w:cs="Times New Roman"/>
          <w:sz w:val="28"/>
          <w:szCs w:val="28"/>
        </w:rPr>
        <w:t>, в плунжерной паре.</w:t>
      </w:r>
    </w:p>
    <w:p w:rsidR="009164A9" w:rsidRPr="0025708C" w:rsidRDefault="009164A9" w:rsidP="00575D7D">
      <w:pPr>
        <w:spacing w:before="150" w:after="150" w:line="360" w:lineRule="auto"/>
        <w:ind w:left="150" w:right="150" w:firstLine="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08C">
        <w:rPr>
          <w:rFonts w:ascii="Times New Roman" w:hAnsi="Times New Roman" w:cs="Times New Roman"/>
          <w:b/>
          <w:sz w:val="28"/>
          <w:szCs w:val="28"/>
        </w:rPr>
        <w:t xml:space="preserve">4.Способы комплектования </w:t>
      </w:r>
    </w:p>
    <w:p w:rsidR="008E7365" w:rsidRPr="008E7365" w:rsidRDefault="005965F3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три способа комплектования</w:t>
      </w:r>
    </w:p>
    <w:p w:rsidR="005965F3" w:rsidRPr="0025708C" w:rsidRDefault="008E7365" w:rsidP="0025708C">
      <w:pPr>
        <w:pStyle w:val="a5"/>
        <w:numPr>
          <w:ilvl w:val="0"/>
          <w:numId w:val="7"/>
        </w:numPr>
        <w:shd w:val="clear" w:color="auto" w:fill="FFFFFF"/>
        <w:spacing w:before="150" w:beforeAutospacing="1" w:after="150" w:afterAutospacing="1" w:line="360" w:lineRule="auto"/>
        <w:ind w:right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штучная комплектация</w:t>
      </w:r>
      <w:r w:rsidRPr="0025708C">
        <w:rPr>
          <w:rFonts w:ascii="Times New Roman" w:eastAsia="Times New Roman" w:hAnsi="Times New Roman" w:cs="Times New Roman"/>
          <w:sz w:val="28"/>
          <w:szCs w:val="28"/>
        </w:rPr>
        <w:t xml:space="preserve"> – к базовым деталям, имеющий действительный размер, подбирают вторую деталь сопряжения исходя из величины зазора или натяга, допускаемого ТУ. Например, к блоку цилиндров подбирают поршни. </w:t>
      </w:r>
      <w:r w:rsidR="0025708C" w:rsidRPr="0025708C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штучном подборе деталей затрачивается много времени на их подбор, что оказывает влияние на увеличение себестоимости ремонта. Несмотря на это штучный подбор применяется в ремонтных мастерских, так как он не требует предварительной технологической подготовки. </w:t>
      </w:r>
      <w:r w:rsidR="0025708C" w:rsidRPr="00733AAD">
        <w:rPr>
          <w:rFonts w:ascii="Times New Roman" w:eastAsia="Times New Roman" w:hAnsi="Times New Roman" w:cs="Times New Roman"/>
          <w:i/>
          <w:sz w:val="28"/>
          <w:szCs w:val="28"/>
        </w:rPr>
        <w:t>Этот способ особенно эффективен в мастерских, которые ремонтируют большую номенклатуру</w:t>
      </w:r>
      <w:r w:rsidR="0025708C">
        <w:rPr>
          <w:rFonts w:ascii="Times New Roman" w:eastAsia="Times New Roman" w:hAnsi="Times New Roman" w:cs="Times New Roman"/>
          <w:i/>
          <w:sz w:val="28"/>
          <w:szCs w:val="28"/>
        </w:rPr>
        <w:t xml:space="preserve"> агрегато</w:t>
      </w:r>
      <w:proofErr w:type="gramStart"/>
      <w:r w:rsidR="0025708C">
        <w:rPr>
          <w:rFonts w:ascii="Times New Roman" w:eastAsia="Times New Roman" w:hAnsi="Times New Roman" w:cs="Times New Roman"/>
          <w:i/>
          <w:sz w:val="28"/>
          <w:szCs w:val="28"/>
        </w:rPr>
        <w:t>в(</w:t>
      </w:r>
      <w:proofErr w:type="gramEnd"/>
      <w:r w:rsidR="0025708C">
        <w:rPr>
          <w:rFonts w:ascii="Times New Roman" w:eastAsia="Times New Roman" w:hAnsi="Times New Roman" w:cs="Times New Roman"/>
          <w:i/>
          <w:sz w:val="28"/>
          <w:szCs w:val="28"/>
        </w:rPr>
        <w:t>узлов)</w:t>
      </w:r>
      <w:r w:rsidRPr="0025708C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5965F3" w:rsidRPr="0025708C" w:rsidRDefault="008E7365" w:rsidP="005965F3">
      <w:pPr>
        <w:pStyle w:val="a5"/>
        <w:numPr>
          <w:ilvl w:val="0"/>
          <w:numId w:val="7"/>
        </w:numPr>
        <w:tabs>
          <w:tab w:val="num" w:pos="284"/>
          <w:tab w:val="left" w:pos="426"/>
        </w:tabs>
        <w:spacing w:before="150" w:beforeAutospacing="1" w:after="15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групповая комплектация</w:t>
      </w:r>
      <w:r w:rsidRPr="0025708C">
        <w:rPr>
          <w:rFonts w:ascii="Times New Roman" w:eastAsia="Times New Roman" w:hAnsi="Times New Roman" w:cs="Times New Roman"/>
          <w:sz w:val="28"/>
          <w:szCs w:val="28"/>
        </w:rPr>
        <w:t xml:space="preserve"> – поле допуска размеров 2-х сопрягаемых деталей разбивают на интервалы, а детали измеряют и сортируют в соответствии с интервалами на размерные группы. </w:t>
      </w:r>
      <w:proofErr w:type="gramStart"/>
      <w:r w:rsidRPr="0025708C">
        <w:rPr>
          <w:rFonts w:ascii="Times New Roman" w:eastAsia="Times New Roman" w:hAnsi="Times New Roman" w:cs="Times New Roman"/>
          <w:sz w:val="28"/>
          <w:szCs w:val="28"/>
        </w:rPr>
        <w:t>Детали после этого маркируют цифрами, буквами, краской (гильзы, поршни, поршневые пальцы, коленчатые валы, плунжерные пары, шатуны и пр.);</w:t>
      </w:r>
      <w:proofErr w:type="gramEnd"/>
    </w:p>
    <w:p w:rsidR="008E7365" w:rsidRPr="0025708C" w:rsidRDefault="008E7365" w:rsidP="005965F3">
      <w:pPr>
        <w:pStyle w:val="a5"/>
        <w:numPr>
          <w:ilvl w:val="0"/>
          <w:numId w:val="7"/>
        </w:numPr>
        <w:tabs>
          <w:tab w:val="num" w:pos="284"/>
          <w:tab w:val="left" w:pos="426"/>
        </w:tabs>
        <w:spacing w:before="150" w:beforeAutospacing="1" w:after="150" w:afterAutospacing="1" w:line="36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bCs/>
          <w:sz w:val="28"/>
          <w:szCs w:val="28"/>
        </w:rPr>
        <w:t>смешанная комплектация</w:t>
      </w:r>
      <w:r w:rsidRPr="0025708C">
        <w:rPr>
          <w:rFonts w:ascii="Times New Roman" w:eastAsia="Times New Roman" w:hAnsi="Times New Roman" w:cs="Times New Roman"/>
          <w:sz w:val="28"/>
          <w:szCs w:val="28"/>
        </w:rPr>
        <w:t> – ответственные детали комплектуют групповым, а менее ответственные детали – штучным способом. 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несбалансированности некоторые детали подбирают по массе (шатун и пр.).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 сопровождается слесарно-пригоночными операциями (опиловка, зачистка, шабрение, притирка, полировка, развертывание отверстий по месту гибка).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Сортировку деталей на группы по размерам ведут ступенчатыми предельными калибрами, в контрольно-измерительных приспособлениях и на контрольно-сортировочных автоматах.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Сортировку по массе производят на весах.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сортировки деталей маркируют и хранят в специальной таре.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 комплектацию деталей выполняют на отдельных рабочих местах перед операцией </w:t>
      </w:r>
      <w:proofErr w:type="gramStart"/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сборки</w:t>
      </w:r>
      <w:proofErr w:type="gramEnd"/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серийном, так и массовом производстве.</w:t>
      </w:r>
    </w:p>
    <w:p w:rsidR="008E7365" w:rsidRPr="0025708C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этих мероприятий создаются благоприятные условия для организации поточной сборки.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сборочных работ определяется: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качеством деталей, сборочных единиц;</w:t>
      </w: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качеством проведения комплектовочных работ.</w:t>
      </w:r>
    </w:p>
    <w:p w:rsidR="00250E00" w:rsidRPr="0025708C" w:rsidRDefault="00250E00" w:rsidP="00250E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E7365" w:rsidRPr="0025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25708C">
        <w:rPr>
          <w:rFonts w:ascii="Times New Roman" w:hAnsi="Times New Roman" w:cs="Times New Roman"/>
          <w:b/>
          <w:sz w:val="28"/>
          <w:szCs w:val="28"/>
        </w:rPr>
        <w:t>Балансировка деталей и узлов.</w:t>
      </w:r>
    </w:p>
    <w:p w:rsidR="0025708C" w:rsidRPr="0025708C" w:rsidRDefault="00250E00" w:rsidP="0025708C">
      <w:pPr>
        <w:spacing w:before="225" w:after="100" w:afterAutospacing="1" w:line="360" w:lineRule="auto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факторов, определяющих надежность и долговечность отремонтированных автомобилей в эксплуатации, является дисбаланс деталей и узлов, который создает дополнительную нагрузку на опоры и повышенную вибрацию.</w:t>
      </w:r>
      <w:r w:rsidRPr="0025708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575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возникает вследствие погрешностей обработки деталей, неточностей сборки узлов, появления износов и деформаций в процессе эксплуатации автомобилей</w:t>
      </w:r>
      <w:r w:rsidRPr="0025708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250E00" w:rsidRPr="00575D7D" w:rsidRDefault="0025708C" w:rsidP="0025708C">
      <w:p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0E00" w:rsidRPr="0057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2570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50E00" w:rsidRPr="0057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неуравновешенности:</w:t>
      </w:r>
    </w:p>
    <w:p w:rsidR="0025708C" w:rsidRPr="0025708C" w:rsidRDefault="00250E00" w:rsidP="0025708C">
      <w:pPr>
        <w:pStyle w:val="a5"/>
        <w:numPr>
          <w:ilvl w:val="0"/>
          <w:numId w:val="8"/>
        </w:num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08C">
        <w:rPr>
          <w:rFonts w:ascii="Times New Roman" w:eastAsia="Times New Roman" w:hAnsi="Times New Roman" w:cs="Times New Roman"/>
          <w:sz w:val="28"/>
          <w:szCs w:val="28"/>
        </w:rPr>
        <w:t>Статическая</w:t>
      </w:r>
      <w:proofErr w:type="gramEnd"/>
      <w:r w:rsidRPr="0025708C">
        <w:rPr>
          <w:rFonts w:ascii="Times New Roman" w:eastAsia="Times New Roman" w:hAnsi="Times New Roman" w:cs="Times New Roman"/>
          <w:sz w:val="28"/>
          <w:szCs w:val="28"/>
        </w:rPr>
        <w:t xml:space="preserve"> - имеет место, когда центр тяжести детали или узла не расположен на оси вращения</w:t>
      </w:r>
    </w:p>
    <w:p w:rsidR="0025708C" w:rsidRPr="0025708C" w:rsidRDefault="00250E00" w:rsidP="0025708C">
      <w:pPr>
        <w:pStyle w:val="a5"/>
        <w:numPr>
          <w:ilvl w:val="0"/>
          <w:numId w:val="8"/>
        </w:num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r w:rsidRPr="002570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575D7D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proofErr w:type="gramEnd"/>
      <w:r w:rsidRPr="00575D7D">
        <w:rPr>
          <w:rFonts w:ascii="Times New Roman" w:eastAsia="Times New Roman" w:hAnsi="Times New Roman" w:cs="Times New Roman"/>
          <w:sz w:val="28"/>
          <w:szCs w:val="28"/>
        </w:rPr>
        <w:t xml:space="preserve"> - возникает в том случае, когда центр тяжести детали лежит на оси вращения, а статические моменты от двух равных неуравновешенных масс равны по величине и направлены в противоположные стороны. (Этот вид неуравновешенности проявляется только при вращении детали).</w:t>
      </w:r>
    </w:p>
    <w:p w:rsidR="00250E00" w:rsidRPr="00575D7D" w:rsidRDefault="00250E00" w:rsidP="0025708C">
      <w:pPr>
        <w:pStyle w:val="a5"/>
        <w:numPr>
          <w:ilvl w:val="0"/>
          <w:numId w:val="8"/>
        </w:numPr>
        <w:spacing w:before="225" w:after="100" w:afterAutospacing="1" w:line="360" w:lineRule="auto"/>
        <w:ind w:left="225" w:right="3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D7D">
        <w:rPr>
          <w:rFonts w:ascii="Times New Roman" w:eastAsia="Times New Roman" w:hAnsi="Times New Roman" w:cs="Times New Roman"/>
          <w:sz w:val="28"/>
          <w:szCs w:val="28"/>
        </w:rPr>
        <w:t>Смешанная - наиболее часто встречается в реальных условиях, когда имеет место статический момент центробежных сил, (напомнить формулы и способы устранения, таблицу дать под запись, привести примеры).</w:t>
      </w:r>
      <w:proofErr w:type="gramEnd"/>
    </w:p>
    <w:p w:rsidR="008E7365" w:rsidRPr="008E7365" w:rsidRDefault="00250E00" w:rsidP="00250E00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08C">
        <w:rPr>
          <w:rFonts w:ascii="Times New Roman" w:hAnsi="Times New Roman" w:cs="Times New Roman"/>
          <w:b/>
          <w:sz w:val="28"/>
          <w:szCs w:val="28"/>
        </w:rPr>
        <w:t>6. Организация процесса комплектования</w:t>
      </w:r>
    </w:p>
    <w:p w:rsidR="00FD4599" w:rsidRDefault="008E7365" w:rsidP="006F6647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8E7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5708C"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комплект подбирают детали, соответствующие требованиям технических условий. Процесс комплектования деталей включает предварительный подбор деталей по размерам, массе и другим параметрам, а также выполнение определенных слесарно-подгоночных операций. Слесарно-подгоночные работы выполняют в процессе предварительной сборки (запрессовка и обработка втулок шатунов, подгонка зазоров в замках поршневых колец, притирка клапанов и т. д.). Процесс комплектования деталей проводят в определенной последовательности. Обычно комплектуют узлы, а затем из собранных узлов — агрегаты. Подбор деталей для узла начинают с основной (базовой) детали комплектуемого узла. Затем подбирают сопряженные с ней детали. Мелкие детали (прокладки, болты, гайки, шайбы, шплинты и др.) комплектуют по количеству для каждого узла. Подобранные узлы и детали укладывают в специальную тару и отправляют на рабочие места сборки.</w:t>
      </w:r>
      <w:r w:rsidR="00FD4599" w:rsidRPr="00FD4599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 xml:space="preserve"> </w:t>
      </w:r>
    </w:p>
    <w:p w:rsidR="00FD4599" w:rsidRPr="00733AAD" w:rsidRDefault="0078316B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7.Стедства технологической оснащенности</w:t>
      </w:r>
      <w:r w:rsidR="00FD4599"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599" w:rsidRPr="00733AAD" w:rsidRDefault="00FD4599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деталей применяют следующий инструмент и приборы: – универсально-измерительный инструмент (микрометры, индикаторы, нутромеры и др.); – жесткий мерительный инструмент (предельные калибры, скобы и пробки); – приборы (весы, динамометры) и различные приспособления (для запрессовки поршневых пальцев, оправки для установки поршневых колец в канавки поршней и др.).</w:t>
      </w:r>
    </w:p>
    <w:p w:rsidR="00FD4599" w:rsidRDefault="0078316B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D4599" w:rsidRPr="00733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рабочих мест</w:t>
      </w:r>
      <w:r w:rsidR="00FD4599"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4599" w:rsidRPr="00733AAD" w:rsidRDefault="00FD4599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 комплектовщиков организовывают в комплектовочном отделении сборочного цеха. Отделение </w:t>
      </w:r>
      <w:proofErr w:type="spellStart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комплектовки</w:t>
      </w:r>
      <w:proofErr w:type="spell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отделено от остальных производственных участков.</w:t>
      </w:r>
    </w:p>
    <w:p w:rsidR="00137F89" w:rsidRDefault="00FD4599" w:rsidP="00137F89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отделении устанавливают столы для контроля деталей, стеллажи и шкафы для хранения инструмента и приспособлений, слесарные верстаки с тисками, гидравлические или пневматические прессы, сверлильный станок и обдирочно-шлифовальный станок для подготовки деталей. Расстояние между оборудованием, инвентарем, колоннами и стенами здания с учетом проездов автопогрузчиков, электрокар и тележек должно соответствовать действующим нормам. </w:t>
      </w:r>
    </w:p>
    <w:p w:rsidR="00FD4599" w:rsidRDefault="00FD4599" w:rsidP="00137F89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места рекомендуется специализировать по наименованию агрегатов, узлов, например, рабочее место для комплектования и подборки шатунно-поршневой группы коробок передач, редукторов и др. Рабочие места должны иметь местное освещение. Для транспортирования деталей рекомендуется использовать специальную тару с гнездами соответствующих размеров. Громоздкие и тяжелые детали (блоки цилиндров, корпуса редукторов, стрелы экскаваторов и другие детали) комплектуют непосредственно на участках сборки, минуя отделение </w:t>
      </w:r>
      <w:proofErr w:type="spellStart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комплектовки</w:t>
      </w:r>
      <w:proofErr w:type="spell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подъемно-транспортных сре</w:t>
      </w:r>
      <w:proofErr w:type="gramStart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именяют </w:t>
      </w:r>
      <w:proofErr w:type="spellStart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электротельферы</w:t>
      </w:r>
      <w:proofErr w:type="spell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монорельсе, конвейеры, рольганги, </w:t>
      </w:r>
      <w:proofErr w:type="spellStart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втопогрузчики</w:t>
      </w:r>
      <w:proofErr w:type="spell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электрокары и др.</w:t>
      </w:r>
    </w:p>
    <w:p w:rsidR="00FD4599" w:rsidRPr="00733AAD" w:rsidRDefault="00FD4599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2110" cy="2501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99" w:rsidRPr="00733AAD" w:rsidRDefault="00FD4599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Рисунок </w:t>
      </w:r>
      <w:r w:rsidR="0048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 комплектования и подборки шатунно-поршневой группы:</w:t>
      </w: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— приспособление для проверки и правки шатунов; 2, 5, 9, 10 — стеллаж для накопления деталей; 3 — специальные весы для определения массы шатунов; 4 — приспособление для запрессовки поршневых пальцев; 6 — стол; 7 — </w:t>
      </w:r>
      <w:proofErr w:type="spellStart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электрошкаф</w:t>
      </w:r>
      <w:proofErr w:type="spell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нагрева поршней; 8 — приспособление для замера параллельности торцов канавок поршней к оси отверстия под поршневой палец;</w:t>
      </w:r>
      <w:proofErr w:type="gramEnd"/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— приспособление для подбора поршней по гильзам; 12 — весы для взвешивания поршней; 13 — оправка для установки поршневых колец в канавки поршня; 14— тара с гнездами, для укладки деталей; 15 — рольганг; 16, 17 — ящики для хранения инструмента и салфеток</w:t>
      </w:r>
    </w:p>
    <w:p w:rsidR="00FD4599" w:rsidRDefault="00FD4599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должны быть оснащены техническими условиями, чертежами, таблицами посадок деталей, каталогами деталей, входящих в узлы, агрегаты, а также полным комплектом инструментов, приборов и приспособлений.</w:t>
      </w:r>
    </w:p>
    <w:p w:rsidR="00711BA1" w:rsidRDefault="00711BA1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собираемое изделие оформляется Карта комплектации (ГОСТ 3.1105-74)</w:t>
      </w:r>
    </w:p>
    <w:p w:rsidR="0032737A" w:rsidRDefault="0032737A" w:rsidP="0032737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37A">
        <w:rPr>
          <w:rFonts w:ascii="Times New Roman" w:hAnsi="Times New Roman" w:cs="Times New Roman"/>
          <w:b/>
          <w:sz w:val="28"/>
          <w:szCs w:val="28"/>
        </w:rPr>
        <w:t>Составление карты комплектации</w:t>
      </w:r>
    </w:p>
    <w:p w:rsidR="0032737A" w:rsidRPr="0032737A" w:rsidRDefault="0032737A" w:rsidP="0032737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737A">
        <w:rPr>
          <w:rFonts w:ascii="Times New Roman" w:hAnsi="Times New Roman" w:cs="Times New Roman"/>
          <w:sz w:val="28"/>
          <w:szCs w:val="28"/>
        </w:rPr>
        <w:t>Составить карту комплектации на сборку водяного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737A">
        <w:rPr>
          <w:rFonts w:ascii="Times New Roman" w:hAnsi="Times New Roman" w:cs="Times New Roman"/>
          <w:sz w:val="28"/>
          <w:szCs w:val="28"/>
        </w:rPr>
        <w:t>оса</w:t>
      </w:r>
      <w:r w:rsidR="00906D8B">
        <w:rPr>
          <w:rFonts w:ascii="Times New Roman" w:hAnsi="Times New Roman" w:cs="Times New Roman"/>
          <w:sz w:val="28"/>
          <w:szCs w:val="28"/>
        </w:rPr>
        <w:t xml:space="preserve"> (варианты приведены по возрастанию сложности)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32737A" w:rsidTr="00906D8B">
        <w:tc>
          <w:tcPr>
            <w:tcW w:w="9778" w:type="dxa"/>
          </w:tcPr>
          <w:p w:rsidR="0032737A" w:rsidRPr="00906D8B" w:rsidRDefault="0032737A" w:rsidP="00906D8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6D8B">
              <w:rPr>
                <w:rFonts w:ascii="Times New Roman" w:hAnsi="Times New Roman" w:cs="Times New Roman"/>
                <w:sz w:val="28"/>
                <w:szCs w:val="28"/>
              </w:rPr>
              <w:t xml:space="preserve">ариант </w:t>
            </w:r>
            <w:r w:rsidRPr="00906D8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0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8B">
              <w:rPr>
                <w:rFonts w:ascii="Times New Roman" w:hAnsi="Times New Roman" w:cs="Times New Roman"/>
                <w:sz w:val="28"/>
                <w:szCs w:val="28"/>
              </w:rPr>
              <w:t>ВАЗ 210</w:t>
            </w:r>
            <w:r w:rsidR="00906D8B" w:rsidRPr="00906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57D0">
              <w:rPr>
                <w:noProof/>
              </w:rPr>
              <w:drawing>
                <wp:inline distT="0" distB="0" distL="0" distR="0" wp14:anchorId="4FB6B987" wp14:editId="2FF84995">
                  <wp:extent cx="6121973" cy="2751826"/>
                  <wp:effectExtent l="0" t="0" r="0" b="0"/>
                  <wp:docPr id="12" name="Рисунок 12" descr="http://nnovgorod.autoopt.ru/acat/data/vaz/2109/a6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novgorod.autoopt.ru/acat/data/vaz/2109/a6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230" cy="27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7D0" w:rsidTr="004857D0">
        <w:tc>
          <w:tcPr>
            <w:tcW w:w="9778" w:type="dxa"/>
            <w:vAlign w:val="center"/>
          </w:tcPr>
          <w:p w:rsidR="004857D0" w:rsidRPr="004857D0" w:rsidRDefault="004857D0" w:rsidP="004857D0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7D0">
              <w:rPr>
                <w:rFonts w:ascii="Times New Roman" w:hAnsi="Times New Roman" w:cs="Times New Roman"/>
                <w:sz w:val="24"/>
                <w:szCs w:val="24"/>
              </w:rPr>
              <w:t>Рисунок 2</w:t>
            </w:r>
          </w:p>
        </w:tc>
      </w:tr>
    </w:tbl>
    <w:p w:rsidR="004857D0" w:rsidRDefault="004857D0"/>
    <w:p w:rsidR="004857D0" w:rsidRDefault="004857D0"/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06D8B" w:rsidTr="00906D8B">
        <w:tc>
          <w:tcPr>
            <w:tcW w:w="9778" w:type="dxa"/>
          </w:tcPr>
          <w:p w:rsidR="00906D8B" w:rsidRDefault="00906D8B" w:rsidP="00906D8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ариант 2</w:t>
            </w:r>
            <w:r w:rsidRPr="0090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D8B">
              <w:rPr>
                <w:rFonts w:ascii="Times New Roman" w:hAnsi="Times New Roman" w:cs="Times New Roman"/>
                <w:sz w:val="28"/>
                <w:szCs w:val="28"/>
              </w:rPr>
              <w:t>ВАЗ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7D0">
              <w:rPr>
                <w:noProof/>
              </w:rPr>
              <w:drawing>
                <wp:inline distT="0" distB="0" distL="0" distR="0" wp14:anchorId="651AEDF1" wp14:editId="552724B2">
                  <wp:extent cx="6300470" cy="3423180"/>
                  <wp:effectExtent l="0" t="0" r="5080" b="6350"/>
                  <wp:docPr id="10" name="Рисунок 10" descr="http://www.autoopt.ru/acat/data/vaz/2131(2000)/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toopt.ru/acat/data/vaz/2131(2000)/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470" cy="342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7D0" w:rsidTr="00906D8B">
        <w:tc>
          <w:tcPr>
            <w:tcW w:w="9778" w:type="dxa"/>
          </w:tcPr>
          <w:p w:rsidR="004857D0" w:rsidRPr="004857D0" w:rsidRDefault="004857D0" w:rsidP="0032737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857D0">
              <w:rPr>
                <w:rFonts w:ascii="Times New Roman" w:hAnsi="Times New Roman" w:cs="Times New Roman"/>
                <w:noProof/>
                <w:sz w:val="24"/>
                <w:szCs w:val="24"/>
              </w:rPr>
              <w:t>Рисунок 3</w:t>
            </w:r>
          </w:p>
        </w:tc>
      </w:tr>
    </w:tbl>
    <w:p w:rsidR="00221CA0" w:rsidRDefault="00221CA0"/>
    <w:p w:rsidR="00221CA0" w:rsidRDefault="00221CA0"/>
    <w:p w:rsidR="00221CA0" w:rsidRDefault="00221CA0"/>
    <w:p w:rsidR="00221CA0" w:rsidRDefault="00221CA0"/>
    <w:p w:rsidR="0032737A" w:rsidRDefault="00906D8B" w:rsidP="00906D8B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8B">
        <w:rPr>
          <w:rFonts w:ascii="Times New Roman" w:hAnsi="Times New Roman" w:cs="Times New Roman"/>
          <w:sz w:val="28"/>
          <w:szCs w:val="28"/>
        </w:rPr>
        <w:t>Вариант 3 КАМАЗ-740</w:t>
      </w:r>
    </w:p>
    <w:p w:rsidR="00906D8B" w:rsidRDefault="00906D8B" w:rsidP="00906D8B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3220" cy="3381375"/>
            <wp:effectExtent l="0" t="0" r="508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A0" w:rsidRPr="00906D8B" w:rsidRDefault="00906D8B" w:rsidP="0032737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D8B">
        <w:rPr>
          <w:rFonts w:ascii="Times New Roman" w:hAnsi="Times New Roman" w:cs="Times New Roman"/>
          <w:sz w:val="24"/>
          <w:szCs w:val="24"/>
        </w:rPr>
        <w:t>Таблица 2 Номенклатура</w:t>
      </w:r>
      <w:r w:rsidRPr="00906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CA0">
        <w:rPr>
          <w:rFonts w:ascii="Times New Roman" w:eastAsia="Times New Roman" w:hAnsi="Times New Roman" w:cs="Times New Roman"/>
          <w:sz w:val="24"/>
          <w:szCs w:val="24"/>
        </w:rPr>
        <w:t>740.1307010-02</w:t>
      </w:r>
    </w:p>
    <w:tbl>
      <w:tblPr>
        <w:tblW w:w="978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5103"/>
        <w:gridCol w:w="1701"/>
      </w:tblGrid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CA0" w:rsidRPr="00906D8B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CA0" w:rsidRPr="00906D8B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906D8B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906D8B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740.1307010-02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906D8B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водяной в сборе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300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1/13069/21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 М10х1,25-6gх30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1/05168/73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10 пружинная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1/26443/01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плоская 10х35х3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740.1307216-30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Шкив привода водяного насоса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740.1307107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  <w:proofErr w:type="spellStart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пылеотражательная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862806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</w:t>
            </w:r>
            <w:proofErr w:type="gramStart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ГОСТ 13943-68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740.1307027-10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870810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Шпонка сегментная 5х7,5х19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740.1307023-20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водяного насоса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740.1307274-20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740.1307012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Манжета водяного насоса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740.1307015-20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водяного насоса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2101-1307013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 водяного насоса в сборе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740.1307035-10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упорное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740.1307038-10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740.1307039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Обойма кольца уплотнительного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740.1307032-10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Крыльчатка водяного насоса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870641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стопорная 12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870502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</w:t>
            </w:r>
            <w:proofErr w:type="spellStart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колпачковая</w:t>
            </w:r>
            <w:proofErr w:type="spellEnd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М12х1,25-6Н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1CA0" w:rsidRPr="00906D8B" w:rsidTr="00906D8B">
        <w:tc>
          <w:tcPr>
            <w:tcW w:w="8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90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864006</w:t>
            </w:r>
          </w:p>
        </w:tc>
        <w:tc>
          <w:tcPr>
            <w:tcW w:w="510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Масленка 1.3.Ц6хр</w:t>
            </w:r>
            <w:proofErr w:type="gramStart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19853-74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1CA0" w:rsidRPr="00221CA0" w:rsidRDefault="00221CA0" w:rsidP="0022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316B" w:rsidRPr="00906D8B" w:rsidRDefault="0078316B" w:rsidP="00221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A1" w:rsidRPr="00102E91" w:rsidRDefault="00711BA1" w:rsidP="00711BA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02E9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Контрольные вопросы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711BA1" w:rsidRPr="00102E91" w:rsidTr="00F149EF">
        <w:trPr>
          <w:trHeight w:val="278"/>
        </w:trPr>
        <w:tc>
          <w:tcPr>
            <w:tcW w:w="851" w:type="dxa"/>
          </w:tcPr>
          <w:p w:rsidR="00711BA1" w:rsidRPr="00102E91" w:rsidRDefault="00711BA1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02E9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711BA1" w:rsidRPr="00102E91" w:rsidRDefault="006F6647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Какой метод комплектования используется для деталей ЦПГ ВАЗ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  <w:r w:rsidR="00711BA1" w:rsidRPr="00102E91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?</w:t>
            </w:r>
            <w:proofErr w:type="gramEnd"/>
            <w:r w:rsidR="00711BA1" w:rsidRPr="00102E91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</w:p>
        </w:tc>
      </w:tr>
      <w:tr w:rsidR="00711BA1" w:rsidRPr="00102E91" w:rsidTr="00F149EF">
        <w:tc>
          <w:tcPr>
            <w:tcW w:w="851" w:type="dxa"/>
          </w:tcPr>
          <w:p w:rsidR="00711BA1" w:rsidRPr="00102E91" w:rsidRDefault="00711BA1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02E9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711BA1" w:rsidRPr="00102E91" w:rsidRDefault="006F6647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Каким методом обеспечивается точность сборки редуктора ВАЗ 2104-07?</w:t>
            </w:r>
            <w:r w:rsidR="00711BA1" w:rsidRPr="00102E91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</w:p>
        </w:tc>
      </w:tr>
      <w:tr w:rsidR="00711BA1" w:rsidRPr="00102E91" w:rsidTr="00F149EF">
        <w:trPr>
          <w:trHeight w:val="312"/>
        </w:trPr>
        <w:tc>
          <w:tcPr>
            <w:tcW w:w="851" w:type="dxa"/>
          </w:tcPr>
          <w:p w:rsidR="00711BA1" w:rsidRPr="00102E91" w:rsidRDefault="00711BA1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02E9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711BA1" w:rsidRPr="00102E91" w:rsidRDefault="006F6647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Каким методом обеспечивается точность сборки секции ТНВД на примере ЯМЗ или КАМАЗ?</w:t>
            </w:r>
            <w:r w:rsidR="00711BA1" w:rsidRPr="00102E91"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 xml:space="preserve">  </w:t>
            </w:r>
          </w:p>
        </w:tc>
      </w:tr>
      <w:tr w:rsidR="00711BA1" w:rsidRPr="00102E91" w:rsidTr="00F149EF">
        <w:tc>
          <w:tcPr>
            <w:tcW w:w="851" w:type="dxa"/>
          </w:tcPr>
          <w:p w:rsidR="00711BA1" w:rsidRPr="00102E91" w:rsidRDefault="00711BA1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02E9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711BA1" w:rsidRPr="00102E91" w:rsidRDefault="006F6647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Привести примеры допустимого дисбаланса калевала (на примере отечественных </w:t>
            </w:r>
            <w:r w:rsidR="00137F89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моделей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)</w:t>
            </w:r>
          </w:p>
        </w:tc>
      </w:tr>
      <w:tr w:rsidR="00711BA1" w:rsidRPr="00102E91" w:rsidTr="00F149EF">
        <w:tc>
          <w:tcPr>
            <w:tcW w:w="851" w:type="dxa"/>
          </w:tcPr>
          <w:p w:rsidR="00711BA1" w:rsidRPr="00102E91" w:rsidRDefault="00711BA1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02E9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711BA1" w:rsidRPr="00102E91" w:rsidRDefault="00137F89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Какие детали комплектуются непосредственно на участках сборки?</w:t>
            </w:r>
          </w:p>
        </w:tc>
      </w:tr>
      <w:tr w:rsidR="00711BA1" w:rsidRPr="00102E91" w:rsidTr="00F149EF">
        <w:tc>
          <w:tcPr>
            <w:tcW w:w="851" w:type="dxa"/>
          </w:tcPr>
          <w:p w:rsidR="00711BA1" w:rsidRPr="00102E91" w:rsidRDefault="00711BA1" w:rsidP="00F149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102E91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711BA1" w:rsidRDefault="0078316B" w:rsidP="00783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  <w:t>Какая деталь выполняет функцию компенсирующего звена при сборке ведомого вала МКПП КАМАЗ?</w:t>
            </w:r>
          </w:p>
          <w:p w:rsidR="0032737A" w:rsidRPr="00102E91" w:rsidRDefault="0032737A" w:rsidP="007831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i/>
                <w:color w:val="7030A0"/>
                <w:sz w:val="28"/>
                <w:szCs w:val="28"/>
              </w:rPr>
            </w:pPr>
          </w:p>
        </w:tc>
      </w:tr>
    </w:tbl>
    <w:p w:rsidR="00711BA1" w:rsidRDefault="0078316B" w:rsidP="00711BA1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источники</w:t>
      </w:r>
    </w:p>
    <w:p w:rsidR="0078316B" w:rsidRDefault="0078316B" w:rsidP="00711BA1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1.Ремонт автомобилей Учебник для автотранспортных техникумов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 Румянцев .2 изд. –М транспорт 1988г</w:t>
      </w:r>
    </w:p>
    <w:p w:rsidR="0078316B" w:rsidRDefault="0078316B" w:rsidP="00711BA1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2.Ремонт автомобилей и двигателей .учебное 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.И.Карагодин</w:t>
      </w:r>
      <w:r w:rsidR="00B2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4-е изд.-М Издательский центр «АКАДЕМИЯ»,2007</w:t>
      </w:r>
    </w:p>
    <w:p w:rsidR="00B26891" w:rsidRDefault="00B26891" w:rsidP="00711BA1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9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.Капитальный ремонт автомобилей</w:t>
      </w:r>
      <w:proofErr w:type="gramStart"/>
      <w:r w:rsidR="0049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9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</w:t>
      </w:r>
      <w:proofErr w:type="spellStart"/>
      <w:r w:rsidR="0049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Л.В.Дехтеринский</w:t>
      </w:r>
      <w:proofErr w:type="spellEnd"/>
      <w:r w:rsidR="0049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–М .Транспорт ,1989</w:t>
      </w:r>
    </w:p>
    <w:p w:rsidR="004857D0" w:rsidRPr="00102E91" w:rsidRDefault="004857D0" w:rsidP="00711BA1">
      <w:pPr>
        <w:shd w:val="clear" w:color="auto" w:fill="FFFFFF"/>
        <w:spacing w:before="100" w:beforeAutospacing="1" w:after="100" w:afterAutospacing="1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BA1" w:rsidRDefault="00711BA1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E3" w:rsidRPr="00733AAD" w:rsidRDefault="00FF0AE3" w:rsidP="00FD459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599" w:rsidRDefault="00FD4599" w:rsidP="00FD4599">
      <w:pPr>
        <w:shd w:val="clear" w:color="auto" w:fill="FFFFFF"/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5708C" w:rsidRPr="00733AAD" w:rsidRDefault="0025708C" w:rsidP="0025708C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65" w:rsidRPr="008E7365" w:rsidRDefault="008E7365" w:rsidP="00250E00">
      <w:pPr>
        <w:spacing w:before="150" w:after="150" w:line="36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365" w:rsidRPr="008E7365" w:rsidRDefault="008E7365" w:rsidP="00575D7D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D7D" w:rsidRPr="00575D7D" w:rsidRDefault="00575D7D" w:rsidP="00575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7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sectPr w:rsidR="00575D7D" w:rsidRPr="00575D7D" w:rsidSect="008E73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D2"/>
    <w:multiLevelType w:val="hybridMultilevel"/>
    <w:tmpl w:val="A776E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6AF"/>
    <w:multiLevelType w:val="multilevel"/>
    <w:tmpl w:val="363C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6DF"/>
    <w:multiLevelType w:val="hybridMultilevel"/>
    <w:tmpl w:val="5AFCF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14D6978"/>
    <w:multiLevelType w:val="hybridMultilevel"/>
    <w:tmpl w:val="1F1AA0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B0828"/>
    <w:multiLevelType w:val="hybridMultilevel"/>
    <w:tmpl w:val="31620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60C7F2C"/>
    <w:multiLevelType w:val="hybridMultilevel"/>
    <w:tmpl w:val="418CFE9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6224425"/>
    <w:multiLevelType w:val="multilevel"/>
    <w:tmpl w:val="7242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11147"/>
    <w:multiLevelType w:val="hybridMultilevel"/>
    <w:tmpl w:val="0620747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7916E1D"/>
    <w:multiLevelType w:val="hybridMultilevel"/>
    <w:tmpl w:val="E76EF0C0"/>
    <w:lvl w:ilvl="0" w:tplc="E2A806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BB"/>
    <w:rsid w:val="000572EB"/>
    <w:rsid w:val="00065E9A"/>
    <w:rsid w:val="00137F89"/>
    <w:rsid w:val="00221CA0"/>
    <w:rsid w:val="00250E00"/>
    <w:rsid w:val="0025708C"/>
    <w:rsid w:val="0032737A"/>
    <w:rsid w:val="004857D0"/>
    <w:rsid w:val="0049324C"/>
    <w:rsid w:val="00551C59"/>
    <w:rsid w:val="00575D7D"/>
    <w:rsid w:val="005917BD"/>
    <w:rsid w:val="005965F3"/>
    <w:rsid w:val="005A7304"/>
    <w:rsid w:val="006F6647"/>
    <w:rsid w:val="00711BA1"/>
    <w:rsid w:val="00733AAD"/>
    <w:rsid w:val="0078316B"/>
    <w:rsid w:val="007F10DC"/>
    <w:rsid w:val="00871281"/>
    <w:rsid w:val="008E7365"/>
    <w:rsid w:val="00906D8B"/>
    <w:rsid w:val="009164A9"/>
    <w:rsid w:val="00AB34AD"/>
    <w:rsid w:val="00B26891"/>
    <w:rsid w:val="00DD5EBB"/>
    <w:rsid w:val="00FD4599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1"/>
  </w:style>
  <w:style w:type="paragraph" w:styleId="1">
    <w:name w:val="heading 1"/>
    <w:basedOn w:val="a"/>
    <w:next w:val="a"/>
    <w:link w:val="10"/>
    <w:uiPriority w:val="9"/>
    <w:qFormat/>
    <w:rsid w:val="005A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33A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1281"/>
  </w:style>
  <w:style w:type="paragraph" w:styleId="a5">
    <w:name w:val="List Paragraph"/>
    <w:basedOn w:val="a"/>
    <w:uiPriority w:val="34"/>
    <w:qFormat/>
    <w:rsid w:val="0087128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71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736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33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91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221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81"/>
  </w:style>
  <w:style w:type="paragraph" w:styleId="1">
    <w:name w:val="heading 1"/>
    <w:basedOn w:val="a"/>
    <w:next w:val="a"/>
    <w:link w:val="10"/>
    <w:uiPriority w:val="9"/>
    <w:qFormat/>
    <w:rsid w:val="005A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33A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71281"/>
  </w:style>
  <w:style w:type="paragraph" w:styleId="a5">
    <w:name w:val="List Paragraph"/>
    <w:basedOn w:val="a"/>
    <w:uiPriority w:val="34"/>
    <w:qFormat/>
    <w:rsid w:val="0087128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871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28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E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E736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733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91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A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22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ПК</cp:lastModifiedBy>
  <cp:revision>2</cp:revision>
  <dcterms:created xsi:type="dcterms:W3CDTF">2020-04-09T02:34:00Z</dcterms:created>
  <dcterms:modified xsi:type="dcterms:W3CDTF">2020-04-09T02:34:00Z</dcterms:modified>
</cp:coreProperties>
</file>